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0CC4DFF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1316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4148AF">
        <w:rPr>
          <w:b/>
          <w:i/>
          <w:noProof/>
          <w:sz w:val="28"/>
        </w:rPr>
        <w:t>6804</w:t>
      </w:r>
    </w:p>
    <w:p w14:paraId="79C2DBFC" w14:textId="60317090" w:rsidR="00F526B6" w:rsidRPr="00DA53A0" w:rsidRDefault="00791316" w:rsidP="00F526B6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F526B6">
        <w:rPr>
          <w:sz w:val="24"/>
        </w:rPr>
        <w:t xml:space="preserve">, </w:t>
      </w:r>
      <w:r>
        <w:rPr>
          <w:sz w:val="24"/>
        </w:rPr>
        <w:t>FL, U.S.A.</w:t>
      </w:r>
      <w:r w:rsidR="00F526B6">
        <w:rPr>
          <w:sz w:val="24"/>
        </w:rPr>
        <w:t>, 1</w:t>
      </w:r>
      <w:r>
        <w:rPr>
          <w:sz w:val="24"/>
        </w:rPr>
        <w:t>8</w:t>
      </w:r>
      <w:r w:rsidR="00F526B6">
        <w:rPr>
          <w:sz w:val="24"/>
        </w:rPr>
        <w:t xml:space="preserve"> - </w:t>
      </w:r>
      <w:r>
        <w:rPr>
          <w:sz w:val="24"/>
        </w:rPr>
        <w:t>22</w:t>
      </w:r>
      <w:r w:rsidR="00F526B6">
        <w:rPr>
          <w:sz w:val="24"/>
        </w:rPr>
        <w:t xml:space="preserve"> </w:t>
      </w:r>
      <w:r>
        <w:rPr>
          <w:sz w:val="24"/>
        </w:rPr>
        <w:t>November</w:t>
      </w:r>
      <w:r w:rsidR="00F526B6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6C62D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F3C93">
        <w:rPr>
          <w:rFonts w:ascii="Arial" w:hAnsi="Arial"/>
          <w:b/>
          <w:lang w:val="en-US"/>
        </w:rPr>
        <w:t>Ericsson</w:t>
      </w:r>
    </w:p>
    <w:p w14:paraId="2C458A19" w14:textId="12C35F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0F3C93" w:rsidRPr="000F3C93">
        <w:rPr>
          <w:rFonts w:ascii="Arial" w:hAnsi="Arial" w:cs="Arial"/>
          <w:b/>
        </w:rPr>
        <w:t>Withdraw incorrect contribution on Sub optimal Handover Metrics</w:t>
      </w:r>
    </w:p>
    <w:p w14:paraId="02CFB229" w14:textId="625CEE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D3A6E5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A2D39">
        <w:rPr>
          <w:rFonts w:ascii="Arial" w:hAnsi="Arial"/>
          <w:b/>
        </w:rPr>
        <w:t>6.19.12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0743CADA" w:rsidR="00C022E3" w:rsidRDefault="009F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this contribution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17EA7A3" w14:textId="7C4BA02F" w:rsidR="000F3C93" w:rsidRDefault="000F3C93" w:rsidP="000F3C93">
      <w:pPr>
        <w:pStyle w:val="Reference"/>
      </w:pPr>
      <w:r>
        <w:t>[1]</w:t>
      </w:r>
      <w:r>
        <w:tab/>
        <w:t>S5-245521</w:t>
      </w:r>
      <w:r w:rsidR="00414F74">
        <w:t>,</w:t>
      </w:r>
      <w:r>
        <w:t xml:space="preserve"> Rel-19 CR TS 28.552 Sub optimal Handover Metrics</w:t>
      </w:r>
    </w:p>
    <w:p w14:paraId="2E9CB307" w14:textId="6C68015D" w:rsidR="000F3C93" w:rsidRDefault="000F3C93" w:rsidP="000F3C93">
      <w:pPr>
        <w:pStyle w:val="Reference"/>
      </w:pPr>
      <w:r>
        <w:t>[2]</w:t>
      </w:r>
      <w:r w:rsidR="00EE1FD7">
        <w:tab/>
        <w:t xml:space="preserve">3GPP TS 32.401, </w:t>
      </w:r>
      <w:r w:rsidR="00EE1FD7" w:rsidRPr="00EE1FD7">
        <w:t>Telecommunication management;</w:t>
      </w:r>
      <w:r w:rsidR="00EE1FD7">
        <w:t xml:space="preserve"> </w:t>
      </w:r>
      <w:r w:rsidR="00EE1FD7" w:rsidRPr="00EE1FD7">
        <w:t>Performance Management (PM);</w:t>
      </w:r>
      <w:r w:rsidR="00EE1FD7">
        <w:t xml:space="preserve"> </w:t>
      </w:r>
      <w:r w:rsidR="00EE1FD7" w:rsidRPr="00EE1FD7">
        <w:t>Concept and requirements</w:t>
      </w:r>
    </w:p>
    <w:p w14:paraId="7E15DD47" w14:textId="6C5A92DD" w:rsidR="0065347C" w:rsidRDefault="0065347C" w:rsidP="000F3C93">
      <w:pPr>
        <w:pStyle w:val="Reference"/>
      </w:pPr>
      <w:r>
        <w:t>[3]</w:t>
      </w:r>
      <w:r>
        <w:tab/>
        <w:t xml:space="preserve">3GPP TS 38.331, </w:t>
      </w:r>
      <w:r w:rsidR="002E0A18" w:rsidRPr="002E0A18">
        <w:t>NR; Radio Resource Control (RRC); Protocol specification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BB1E810" w14:textId="100B8ECA" w:rsidR="00C07E57" w:rsidRPr="00C07E57" w:rsidRDefault="00C07E57" w:rsidP="00C07E57">
      <w:pPr>
        <w:pStyle w:val="Heading2"/>
      </w:pPr>
      <w:r>
        <w:t>3.1</w:t>
      </w:r>
      <w:r>
        <w:tab/>
        <w:t>Main flaw</w:t>
      </w:r>
    </w:p>
    <w:p w14:paraId="529278EE" w14:textId="49A38548" w:rsidR="00112102" w:rsidRDefault="00112102">
      <w:pPr>
        <w:rPr>
          <w:iCs/>
        </w:rPr>
      </w:pPr>
      <w:r>
        <w:rPr>
          <w:iCs/>
        </w:rPr>
        <w:t xml:space="preserve">During SA5#157, Hyderabad, contribution </w:t>
      </w:r>
      <w:r w:rsidRPr="00112102">
        <w:rPr>
          <w:iCs/>
        </w:rPr>
        <w:t>S5-245521</w:t>
      </w:r>
      <w:r>
        <w:rPr>
          <w:iCs/>
        </w:rPr>
        <w:t>,</w:t>
      </w:r>
      <w:r w:rsidRPr="00112102">
        <w:rPr>
          <w:iCs/>
        </w:rPr>
        <w:t xml:space="preserve"> </w:t>
      </w:r>
      <w:r w:rsidRPr="00112102">
        <w:rPr>
          <w:i/>
        </w:rPr>
        <w:t>Rel-19 CR TS 28.552 Sub optimal Handover Metrics</w:t>
      </w:r>
      <w:r w:rsidRPr="00112102">
        <w:rPr>
          <w:iCs/>
        </w:rPr>
        <w:t xml:space="preserve"> </w:t>
      </w:r>
      <w:r>
        <w:rPr>
          <w:iCs/>
        </w:rPr>
        <w:t xml:space="preserve">[1] was agreed. This was unfortunate, as the contribution is incorrect and should not be implemented. </w:t>
      </w:r>
    </w:p>
    <w:p w14:paraId="36803030" w14:textId="1195696A" w:rsidR="00414F74" w:rsidRDefault="00414F74">
      <w:pPr>
        <w:rPr>
          <w:iCs/>
        </w:rPr>
      </w:pPr>
      <w:r>
        <w:rPr>
          <w:iCs/>
        </w:rPr>
        <w:t xml:space="preserve">The contribution in question proposes a novel method for collecting PM measurements. </w:t>
      </w:r>
      <w:r w:rsidR="005A1031">
        <w:rPr>
          <w:iCs/>
        </w:rPr>
        <w:t xml:space="preserve">The core of the idea is to update a counter after the end of its granularity period. </w:t>
      </w:r>
      <w:r>
        <w:rPr>
          <w:iCs/>
        </w:rPr>
        <w:t>Unfortunately, th</w:t>
      </w:r>
      <w:r w:rsidR="005A1031">
        <w:rPr>
          <w:iCs/>
        </w:rPr>
        <w:t>is</w:t>
      </w:r>
      <w:r>
        <w:rPr>
          <w:iCs/>
        </w:rPr>
        <w:t xml:space="preserve"> novel method is flawed and not implementable.</w:t>
      </w:r>
    </w:p>
    <w:p w14:paraId="69C78ED1" w14:textId="40AF1F2F" w:rsidR="00C07E57" w:rsidRDefault="00C07E57">
      <w:pPr>
        <w:rPr>
          <w:iCs/>
        </w:rPr>
      </w:pPr>
      <w:r>
        <w:rPr>
          <w:iCs/>
        </w:rPr>
        <w:t xml:space="preserve">The </w:t>
      </w:r>
      <w:r w:rsidR="009F3B4E">
        <w:rPr>
          <w:iCs/>
        </w:rPr>
        <w:t>main obstacle</w:t>
      </w:r>
      <w:r>
        <w:rPr>
          <w:iCs/>
        </w:rPr>
        <w:t xml:space="preserve"> is that</w:t>
      </w:r>
      <w:r w:rsidR="009F3B4E">
        <w:rPr>
          <w:iCs/>
        </w:rPr>
        <w:t>,</w:t>
      </w:r>
      <w:r>
        <w:rPr>
          <w:iCs/>
        </w:rPr>
        <w:t xml:space="preserve"> </w:t>
      </w:r>
      <w:r w:rsidR="00EE1FD7">
        <w:rPr>
          <w:iCs/>
        </w:rPr>
        <w:t xml:space="preserve">at </w:t>
      </w:r>
      <w:r>
        <w:rPr>
          <w:iCs/>
        </w:rPr>
        <w:t xml:space="preserve">the end of </w:t>
      </w:r>
      <w:r w:rsidR="00EE1FD7">
        <w:rPr>
          <w:iCs/>
        </w:rPr>
        <w:t xml:space="preserve">a granularity interval, the result is computed and transferred to a collection entity. This means that, at the end of a granularity period, the measurement </w:t>
      </w:r>
      <w:r w:rsidR="00EE1FD7" w:rsidRPr="009F3B4E">
        <w:rPr>
          <w:i/>
        </w:rPr>
        <w:t>cannot be changed</w:t>
      </w:r>
      <w:r w:rsidR="00EE1FD7">
        <w:rPr>
          <w:iCs/>
        </w:rPr>
        <w:t xml:space="preserve">. </w:t>
      </w:r>
      <w:r w:rsidR="009F3B4E">
        <w:rPr>
          <w:iCs/>
        </w:rPr>
        <w:t xml:space="preserve">The measurement may even have left the node where it was collected and sent to a Trace Collection Entity (TCE). </w:t>
      </w:r>
      <w:r w:rsidR="00EE1FD7">
        <w:rPr>
          <w:iCs/>
        </w:rPr>
        <w:t xml:space="preserve">However, [1] </w:t>
      </w:r>
      <w:proofErr w:type="gramStart"/>
      <w:r w:rsidR="00EE1FD7">
        <w:rPr>
          <w:iCs/>
        </w:rPr>
        <w:t>is based on the assumption</w:t>
      </w:r>
      <w:proofErr w:type="gramEnd"/>
      <w:r w:rsidR="00EE1FD7">
        <w:rPr>
          <w:iCs/>
        </w:rPr>
        <w:t xml:space="preserve"> that a measurement </w:t>
      </w:r>
      <w:r w:rsidR="00EE1FD7">
        <w:rPr>
          <w:i/>
        </w:rPr>
        <w:t>can</w:t>
      </w:r>
      <w:r w:rsidR="00EE1FD7">
        <w:rPr>
          <w:iCs/>
        </w:rPr>
        <w:t xml:space="preserve"> be updated after the end of the granularity period.</w:t>
      </w:r>
    </w:p>
    <w:p w14:paraId="6ED4228F" w14:textId="737BD764" w:rsidR="00EE1FD7" w:rsidRPr="00EE1FD7" w:rsidRDefault="009F3B4E">
      <w:pPr>
        <w:rPr>
          <w:iCs/>
        </w:rPr>
      </w:pPr>
      <w:r>
        <w:rPr>
          <w:iCs/>
        </w:rPr>
        <w:t>The fact that the contribution cannot be implemented</w:t>
      </w:r>
      <w:r w:rsidR="00EE1FD7">
        <w:rPr>
          <w:iCs/>
        </w:rPr>
        <w:t xml:space="preserve"> follows from the description of PM measurements, in TS 32.401 [2] (</w:t>
      </w:r>
      <w:r w:rsidR="00EE1FD7">
        <w:rPr>
          <w:iCs/>
          <w:highlight w:val="yellow"/>
        </w:rPr>
        <w:t>our</w:t>
      </w:r>
      <w:r w:rsidR="00EE1FD7" w:rsidRPr="00EE1FD7">
        <w:rPr>
          <w:iCs/>
          <w:highlight w:val="yellow"/>
        </w:rPr>
        <w:t xml:space="preserve"> highlighting</w:t>
      </w:r>
      <w:r w:rsidR="00EE1FD7">
        <w:rPr>
          <w:iCs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7E57" w14:paraId="051B699F" w14:textId="77777777" w:rsidTr="00C07E57">
        <w:tc>
          <w:tcPr>
            <w:tcW w:w="9629" w:type="dxa"/>
          </w:tcPr>
          <w:p w14:paraId="0F5EA0C4" w14:textId="77777777" w:rsidR="00C07E57" w:rsidRDefault="00C07E57" w:rsidP="00C07E57">
            <w:pPr>
              <w:pStyle w:val="Heading4"/>
            </w:pPr>
            <w:bookmarkStart w:id="0" w:name="_Toc311472138"/>
            <w:r>
              <w:lastRenderedPageBreak/>
              <w:t>5.4.1.4</w:t>
            </w:r>
            <w:r>
              <w:tab/>
              <w:t>Granularity period</w:t>
            </w:r>
            <w:bookmarkEnd w:id="0"/>
          </w:p>
          <w:p w14:paraId="3C4A3F91" w14:textId="77777777" w:rsidR="00C07E57" w:rsidRDefault="00C07E57" w:rsidP="00C07E57">
            <w:pPr>
              <w:tabs>
                <w:tab w:val="left" w:pos="709"/>
              </w:tabs>
              <w:ind w:right="-1"/>
            </w:pPr>
            <w:r>
              <w:t xml:space="preserve">The granularity period is the time between the initiation of two successive gatherings of measurement data. </w:t>
            </w:r>
            <w:r>
              <w:br/>
              <w:t>Valid values for the granularity period are 5 minutes, 15 minutes, 30 minutes, 1 hour. The minimum granularity period is 5 minutes in most cases, but for some measurements it may only make sense to collect data in a larger granularity period. The granularity period shall be synchronised on the full hour, but its value is not required to be changeable during the lifetime of the job.</w:t>
            </w:r>
          </w:p>
          <w:p w14:paraId="46B4FEE3" w14:textId="77777777" w:rsidR="00C07E57" w:rsidRDefault="00C07E57" w:rsidP="00C07E57">
            <w:pPr>
              <w:pStyle w:val="Heading4"/>
            </w:pPr>
            <w:bookmarkStart w:id="1" w:name="_Toc311472139"/>
            <w:r>
              <w:t>5.4.1.5</w:t>
            </w:r>
            <w:r>
              <w:tab/>
              <w:t>Measurement reporting</w:t>
            </w:r>
            <w:bookmarkEnd w:id="1"/>
          </w:p>
          <w:p w14:paraId="28A31937" w14:textId="77777777" w:rsidR="00C07E57" w:rsidRDefault="00C07E57" w:rsidP="00C07E57">
            <w:pPr>
              <w:keepNext/>
              <w:keepLines/>
              <w:tabs>
                <w:tab w:val="left" w:pos="709"/>
              </w:tabs>
              <w:ind w:right="-1"/>
            </w:pPr>
            <w:r>
              <w:t xml:space="preserve">Each measurement job running on an NE produces scheduled measurement reports (measurement records) </w:t>
            </w:r>
            <w:r w:rsidRPr="00EE1FD7">
              <w:rPr>
                <w:highlight w:val="yellow"/>
              </w:rPr>
              <w:t xml:space="preserve">at the end of each granularity </w:t>
            </w:r>
            <w:proofErr w:type="gramStart"/>
            <w:r w:rsidRPr="00EE1FD7">
              <w:rPr>
                <w:highlight w:val="yellow"/>
              </w:rPr>
              <w:t>period</w:t>
            </w:r>
            <w:r>
              <w:t>, and</w:t>
            </w:r>
            <w:proofErr w:type="gramEnd"/>
            <w:r>
              <w:t xml:space="preserve"> contains the information as requested by the system operator. This information consists of:</w:t>
            </w:r>
          </w:p>
          <w:p w14:paraId="140B2927" w14:textId="77777777" w:rsidR="00C07E57" w:rsidRDefault="00C07E57" w:rsidP="00C07E57">
            <w:pPr>
              <w:pStyle w:val="B1"/>
              <w:keepNext/>
              <w:keepLines/>
            </w:pPr>
            <w:r>
              <w:t>-</w:t>
            </w:r>
            <w:r>
              <w:tab/>
              <w:t xml:space="preserve">an identification of the measurement job that generated the </w:t>
            </w:r>
            <w:proofErr w:type="gramStart"/>
            <w:r>
              <w:t>report;</w:t>
            </w:r>
            <w:proofErr w:type="gramEnd"/>
          </w:p>
          <w:p w14:paraId="0B366C4D" w14:textId="77777777" w:rsidR="00C07E57" w:rsidRDefault="00C07E57" w:rsidP="00C07E57">
            <w:pPr>
              <w:pStyle w:val="B1"/>
              <w:keepNext/>
              <w:keepLines/>
            </w:pPr>
            <w:r>
              <w:t>-</w:t>
            </w:r>
            <w:r>
              <w:tab/>
              <w:t>an identification of the involved measurement type(s) and the measured network resource(s) (e.g. NodeB</w:t>
            </w:r>
            <w:proofErr w:type="gramStart"/>
            <w:r>
              <w:t>);</w:t>
            </w:r>
            <w:proofErr w:type="gramEnd"/>
          </w:p>
          <w:p w14:paraId="41E5831D" w14:textId="77777777" w:rsidR="00C07E57" w:rsidRDefault="00C07E57" w:rsidP="00C07E57">
            <w:pPr>
              <w:pStyle w:val="B1"/>
              <w:keepNext/>
              <w:keepLines/>
            </w:pPr>
            <w:r>
              <w:t>-</w:t>
            </w:r>
            <w:r>
              <w:tab/>
            </w:r>
            <w:r w:rsidRPr="00EE1FD7">
              <w:rPr>
                <w:highlight w:val="yellow"/>
              </w:rPr>
              <w:t xml:space="preserve">a time stamp, referring to the end of the granularity </w:t>
            </w:r>
            <w:proofErr w:type="gramStart"/>
            <w:r w:rsidRPr="00EE1FD7">
              <w:rPr>
                <w:highlight w:val="yellow"/>
              </w:rPr>
              <w:t>period</w:t>
            </w:r>
            <w:r>
              <w:t>;</w:t>
            </w:r>
            <w:proofErr w:type="gramEnd"/>
          </w:p>
          <w:p w14:paraId="1CE3D1C5" w14:textId="77777777" w:rsidR="00C07E57" w:rsidRDefault="00C07E57" w:rsidP="00C07E57">
            <w:pPr>
              <w:pStyle w:val="B1"/>
              <w:keepNext/>
              <w:keepLines/>
            </w:pPr>
            <w:r>
              <w:t>-</w:t>
            </w:r>
            <w:r>
              <w:tab/>
              <w:t>for each measurement type, the result value(s) and an indication of the validity of the result value(s</w:t>
            </w:r>
            <w:proofErr w:type="gramStart"/>
            <w:r>
              <w:t>);</w:t>
            </w:r>
            <w:proofErr w:type="gramEnd"/>
          </w:p>
          <w:p w14:paraId="6AF32B0F" w14:textId="77777777" w:rsidR="00C07E57" w:rsidRDefault="00C07E57" w:rsidP="00C07E57">
            <w:pPr>
              <w:pStyle w:val="B1"/>
              <w:keepNext/>
              <w:keepLines/>
            </w:pPr>
            <w:r>
              <w:t>-</w:t>
            </w:r>
            <w:r>
              <w:tab/>
              <w:t>an indication if the scan is not complete, and the reason why the scan could not be completed.</w:t>
            </w:r>
          </w:p>
          <w:p w14:paraId="0DC7DD02" w14:textId="77777777" w:rsidR="00C07E57" w:rsidRDefault="00C07E57" w:rsidP="00C07E57">
            <w:pPr>
              <w:tabs>
                <w:tab w:val="left" w:pos="709"/>
              </w:tabs>
              <w:ind w:right="-1"/>
            </w:pPr>
            <w:r>
              <w:t>The exact layout of the measurement reports (measurement records) generated by the NEs may be vendor specific. Multiple measurement reports shall be collated, based on reporting period, into a measurement result file for transfer, e.g from the NE or the EM. The file format of this aggregated file is specified by Performance Measurement File Format Definition 3GPP TS 32.432 [29]. Clause 5.5.2 specifies how these reports can be transferred to the destination EM and/or NM.</w:t>
            </w:r>
          </w:p>
          <w:p w14:paraId="184987AB" w14:textId="77777777" w:rsidR="00C07E57" w:rsidRDefault="00C07E57" w:rsidP="00C07E57">
            <w:pPr>
              <w:pStyle w:val="Heading4"/>
            </w:pPr>
            <w:bookmarkStart w:id="2" w:name="_Toc311472140"/>
            <w:r>
              <w:t>5.4.1.6</w:t>
            </w:r>
            <w:r>
              <w:tab/>
            </w:r>
            <w:r>
              <w:rPr>
                <w:color w:val="000000"/>
              </w:rPr>
              <w:t>Illustration of the measurement scheduling principles</w:t>
            </w:r>
            <w:bookmarkEnd w:id="2"/>
          </w:p>
          <w:p w14:paraId="57E66171" w14:textId="77777777" w:rsidR="00C07E57" w:rsidRDefault="00C07E57" w:rsidP="00C07E57">
            <w:pPr>
              <w:keepNext/>
              <w:widowControl w:val="0"/>
            </w:pPr>
            <w:r>
              <w:t xml:space="preserve">The diagram below gives an example of a NE which runs a measurement job, with a </w:t>
            </w:r>
            <w:proofErr w:type="gramStart"/>
            <w:r>
              <w:t>15 minute</w:t>
            </w:r>
            <w:proofErr w:type="gramEnd"/>
            <w:r>
              <w:t xml:space="preserve"> granularity period, that has a recording interval start and end time, respectively, of 12:00 and 14:00.</w:t>
            </w:r>
          </w:p>
          <w:p w14:paraId="3C352057" w14:textId="77777777" w:rsidR="00C07E57" w:rsidRDefault="00C07E57" w:rsidP="00C07E57">
            <w:pPr>
              <w:pStyle w:val="TH"/>
            </w:pPr>
            <w:r>
              <w:rPr>
                <w:rFonts w:eastAsia="Times New Roman"/>
              </w:rPr>
              <w:object w:dxaOrig="8505" w:dyaOrig="4890" w14:anchorId="7A7FEA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5.05pt;height:245.25pt" o:ole="" fillcolor="window">
                  <v:imagedata r:id="rId10" o:title=""/>
                </v:shape>
                <o:OLEObject Type="Embed" ProgID="Word.Picture.8" ShapeID="_x0000_i1025" DrawAspect="Content" ObjectID="_1792586798" r:id="rId11"/>
              </w:object>
            </w:r>
          </w:p>
          <w:p w14:paraId="5D267FD9" w14:textId="77777777" w:rsidR="00C07E57" w:rsidRDefault="00C07E57" w:rsidP="00C07E57">
            <w:pPr>
              <w:pStyle w:val="TF"/>
            </w:pPr>
            <w:r>
              <w:t>Figure 2</w:t>
            </w:r>
          </w:p>
          <w:p w14:paraId="2903844C" w14:textId="77777777" w:rsidR="00C07E57" w:rsidRDefault="00C07E57" w:rsidP="00C07E57">
            <w:pPr>
              <w:pStyle w:val="B1"/>
            </w:pPr>
            <w:r>
              <w:t>-</w:t>
            </w:r>
            <w:r>
              <w:tab/>
              <w:t>At 12:00 the measurement job starts collecting data for its defined measurements</w:t>
            </w:r>
            <w:r>
              <w:rPr>
                <w:color w:val="000000"/>
              </w:rPr>
              <w:t>.</w:t>
            </w:r>
          </w:p>
          <w:p w14:paraId="06F710A2" w14:textId="77777777" w:rsidR="00C07E57" w:rsidRDefault="00C07E57" w:rsidP="00C07E57">
            <w:pPr>
              <w:pStyle w:val="B1"/>
            </w:pPr>
            <w:r>
              <w:t>-</w:t>
            </w:r>
            <w:r>
              <w:tab/>
              <w:t xml:space="preserve">At 12:15, and </w:t>
            </w:r>
            <w:r w:rsidRPr="00EE1FD7">
              <w:rPr>
                <w:highlight w:val="yellow"/>
              </w:rPr>
              <w:t>every 15 minutes during the Recording Interval, the results for the measurements will be computed</w:t>
            </w:r>
            <w:r>
              <w:t xml:space="preserve"> from the data gathered over the previous 15 minutes, and </w:t>
            </w:r>
            <w:r w:rsidRPr="00EE1FD7">
              <w:rPr>
                <w:highlight w:val="yellow"/>
              </w:rPr>
              <w:t>measurement reporting occurs</w:t>
            </w:r>
            <w:r>
              <w:t xml:space="preserve"> as specified in clause 5.3.1.4</w:t>
            </w:r>
            <w:r>
              <w:rPr>
                <w:color w:val="000000"/>
              </w:rPr>
              <w:t>.</w:t>
            </w:r>
          </w:p>
          <w:p w14:paraId="4F45D318" w14:textId="77777777" w:rsidR="00C07E57" w:rsidRDefault="00C07E57" w:rsidP="00C07E57">
            <w:pPr>
              <w:pStyle w:val="B1"/>
            </w:pPr>
            <w:r>
              <w:t>-</w:t>
            </w:r>
            <w:r>
              <w:tab/>
              <w:t>Beginning at 12:15, the results for the expired granularity periods may be sent to a destination OS.</w:t>
            </w:r>
          </w:p>
          <w:p w14:paraId="44C01B0E" w14:textId="77777777" w:rsidR="00C07E57" w:rsidRDefault="00C07E57" w:rsidP="00C07E57">
            <w:pPr>
              <w:pStyle w:val="B1"/>
            </w:pPr>
            <w:r>
              <w:t>-</w:t>
            </w:r>
            <w:r>
              <w:tab/>
              <w:t>At 14:00 the measurement job activity is terminated for this recording interval.</w:t>
            </w:r>
          </w:p>
          <w:p w14:paraId="6F149EC2" w14:textId="77777777" w:rsidR="00C07E57" w:rsidRDefault="00C07E57">
            <w:pPr>
              <w:rPr>
                <w:iCs/>
              </w:rPr>
            </w:pPr>
          </w:p>
        </w:tc>
      </w:tr>
    </w:tbl>
    <w:p w14:paraId="7DDDB5CC" w14:textId="6D6DA1E4" w:rsidR="00EE1FD7" w:rsidRDefault="00EE1FD7">
      <w:pPr>
        <w:rPr>
          <w:iCs/>
        </w:rPr>
      </w:pPr>
      <w:r>
        <w:rPr>
          <w:iCs/>
        </w:rPr>
        <w:lastRenderedPageBreak/>
        <w:t>… and 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1FD7" w14:paraId="540F4405" w14:textId="77777777" w:rsidTr="00EE1FD7">
        <w:tc>
          <w:tcPr>
            <w:tcW w:w="9629" w:type="dxa"/>
          </w:tcPr>
          <w:p w14:paraId="721BF59B" w14:textId="77777777" w:rsidR="00EE1FD7" w:rsidRDefault="00EE1FD7" w:rsidP="00EE1FD7">
            <w:pPr>
              <w:pStyle w:val="Heading3"/>
              <w:ind w:right="-1"/>
            </w:pPr>
            <w:bookmarkStart w:id="3" w:name="_Toc311472145"/>
            <w:r>
              <w:t>5.5.2</w:t>
            </w:r>
            <w:r>
              <w:tab/>
              <w:t>Transfer of measurement results</w:t>
            </w:r>
            <w:bookmarkEnd w:id="3"/>
          </w:p>
          <w:p w14:paraId="35AA4255" w14:textId="77777777" w:rsidR="00EE1FD7" w:rsidRDefault="00EE1FD7" w:rsidP="00EE1FD7">
            <w:pPr>
              <w:keepNext/>
              <w:keepLines/>
              <w:tabs>
                <w:tab w:val="left" w:pos="709"/>
              </w:tabs>
              <w:ind w:right="-1"/>
            </w:pPr>
            <w:r>
              <w:t xml:space="preserve">During the recording intervals specified for a measurement job, scheduled measurement reports are generated at the end of each granularity period if the measurement job is not suspended. These reports </w:t>
            </w:r>
            <w:r w:rsidRPr="00EE1FD7">
              <w:rPr>
                <w:highlight w:val="yellow"/>
              </w:rPr>
              <w:t>can be transferred to the EM in either of two ways</w:t>
            </w:r>
            <w:r>
              <w:t>:</w:t>
            </w:r>
          </w:p>
          <w:p w14:paraId="5FBF76A4" w14:textId="77777777" w:rsidR="00EE1FD7" w:rsidRDefault="00EE1FD7" w:rsidP="00EE1FD7">
            <w:pPr>
              <w:pStyle w:val="B1"/>
              <w:keepNext/>
              <w:keepLines/>
            </w:pPr>
            <w:r>
              <w:t>1)</w:t>
            </w:r>
            <w:r>
              <w:tab/>
              <w:t>immediate notifications:</w:t>
            </w:r>
          </w:p>
          <w:p w14:paraId="4F376185" w14:textId="77777777" w:rsidR="00EE1FD7" w:rsidRDefault="00EE1FD7" w:rsidP="00EE1FD7">
            <w:pPr>
              <w:pStyle w:val="B2"/>
              <w:keepNext/>
              <w:keepLines/>
            </w:pPr>
            <w:r>
              <w:t>-</w:t>
            </w:r>
            <w:r>
              <w:tab/>
              <w:t xml:space="preserve">the reports are automatically forwarded to the EM </w:t>
            </w:r>
            <w:r w:rsidRPr="00EE1FD7">
              <w:rPr>
                <w:highlight w:val="yellow"/>
              </w:rPr>
              <w:t>at the end of the granularity period</w:t>
            </w:r>
            <w:r>
              <w:t>.</w:t>
            </w:r>
          </w:p>
          <w:p w14:paraId="1AA51365" w14:textId="77777777" w:rsidR="00EE1FD7" w:rsidRDefault="00EE1FD7" w:rsidP="00EE1FD7">
            <w:pPr>
              <w:pStyle w:val="B1"/>
              <w:keepNext/>
              <w:keepLines/>
            </w:pPr>
            <w:r>
              <w:t>2)</w:t>
            </w:r>
            <w:r>
              <w:tab/>
              <w:t>deferred retrieval:</w:t>
            </w:r>
          </w:p>
          <w:p w14:paraId="49E5C8A2" w14:textId="77777777" w:rsidR="00EE1FD7" w:rsidRDefault="00EE1FD7" w:rsidP="00EE1FD7">
            <w:pPr>
              <w:pStyle w:val="B2"/>
            </w:pPr>
            <w:r>
              <w:t>-</w:t>
            </w:r>
            <w:r>
              <w:tab/>
              <w:t>the reports are stored locally in the NE, where they can be retrieved when required.</w:t>
            </w:r>
          </w:p>
          <w:p w14:paraId="3ED387D8" w14:textId="77777777" w:rsidR="00EE1FD7" w:rsidRDefault="00EE1FD7">
            <w:pPr>
              <w:rPr>
                <w:iCs/>
              </w:rPr>
            </w:pPr>
          </w:p>
        </w:tc>
      </w:tr>
    </w:tbl>
    <w:p w14:paraId="652BD029" w14:textId="77777777" w:rsidR="00EE1FD7" w:rsidRDefault="00EE1FD7">
      <w:pPr>
        <w:rPr>
          <w:iCs/>
        </w:rPr>
      </w:pPr>
    </w:p>
    <w:p w14:paraId="1D47256F" w14:textId="70F209FC" w:rsidR="0065347C" w:rsidRDefault="000D2CCE">
      <w:pPr>
        <w:rPr>
          <w:iCs/>
        </w:rPr>
      </w:pPr>
      <w:r>
        <w:rPr>
          <w:iCs/>
        </w:rPr>
        <w:t>C</w:t>
      </w:r>
      <w:r w:rsidR="0065347C">
        <w:rPr>
          <w:iCs/>
        </w:rPr>
        <w:t xml:space="preserve">ontribution </w:t>
      </w:r>
      <w:r w:rsidR="009F3B4E">
        <w:rPr>
          <w:iCs/>
        </w:rPr>
        <w:t xml:space="preserve">[1] </w:t>
      </w:r>
      <w:r w:rsidR="0065347C">
        <w:rPr>
          <w:iCs/>
        </w:rPr>
        <w:t xml:space="preserve">assumes that the counter for a certain </w:t>
      </w:r>
      <w:r w:rsidR="0065347C">
        <w:rPr>
          <w:iCs/>
        </w:rPr>
        <w:t>granularity period can be incremented up to 48 hours after the end of the granularity period</w:t>
      </w:r>
      <w:r w:rsidR="009F3B4E">
        <w:rPr>
          <w:iCs/>
        </w:rPr>
        <w:t>, as</w:t>
      </w:r>
      <w:r w:rsidR="0065347C">
        <w:rPr>
          <w:iCs/>
        </w:rPr>
        <w:t xml:space="preserve"> the UE store</w:t>
      </w:r>
      <w:r w:rsidR="00A63D58">
        <w:rPr>
          <w:iCs/>
        </w:rPr>
        <w:t>s</w:t>
      </w:r>
      <w:r w:rsidR="0065347C">
        <w:rPr>
          <w:iCs/>
        </w:rPr>
        <w:t xml:space="preserve"> RLF reports </w:t>
      </w:r>
      <w:r w:rsidR="00C750F3">
        <w:rPr>
          <w:iCs/>
        </w:rPr>
        <w:t xml:space="preserve">or SHRs </w:t>
      </w:r>
      <w:r w:rsidR="0065347C">
        <w:rPr>
          <w:iCs/>
        </w:rPr>
        <w:t>up to 48 hours</w:t>
      </w:r>
      <w:r w:rsidR="009F3B4E">
        <w:rPr>
          <w:iCs/>
        </w:rPr>
        <w:t>. S</w:t>
      </w:r>
      <w:r w:rsidR="0065347C">
        <w:rPr>
          <w:iCs/>
        </w:rPr>
        <w:t xml:space="preserve">ee TS 38.331 [3] clause </w:t>
      </w:r>
      <w:r w:rsidR="00D71389">
        <w:rPr>
          <w:iCs/>
        </w:rPr>
        <w:t>5.3.10.5 and 5.7.10.6.</w:t>
      </w:r>
      <w:r>
        <w:rPr>
          <w:iCs/>
        </w:rPr>
        <w:t xml:space="preserve"> This is not possible for the current SA5 specified PM architecture.</w:t>
      </w:r>
    </w:p>
    <w:p w14:paraId="10AB74B3" w14:textId="0C26C3F5" w:rsidR="005E60C9" w:rsidRDefault="005E60C9" w:rsidP="005E60C9">
      <w:pPr>
        <w:pStyle w:val="Heading2"/>
      </w:pPr>
      <w:r>
        <w:t>3.2</w:t>
      </w:r>
      <w:r>
        <w:tab/>
        <w:t xml:space="preserve">Generalising the idea in the </w:t>
      </w:r>
      <w:proofErr w:type="gramStart"/>
      <w:r>
        <w:t>contribution</w:t>
      </w:r>
      <w:proofErr w:type="gramEnd"/>
    </w:p>
    <w:p w14:paraId="688B11ED" w14:textId="053B0B9B" w:rsidR="00860658" w:rsidRDefault="000D2CCE">
      <w:pPr>
        <w:rPr>
          <w:iCs/>
        </w:rPr>
      </w:pPr>
      <w:r>
        <w:rPr>
          <w:iCs/>
        </w:rPr>
        <w:t>C</w:t>
      </w:r>
      <w:r w:rsidR="005A1031">
        <w:rPr>
          <w:iCs/>
        </w:rPr>
        <w:t xml:space="preserve">ontribution </w:t>
      </w:r>
      <w:r>
        <w:rPr>
          <w:iCs/>
        </w:rPr>
        <w:t xml:space="preserve">[1] </w:t>
      </w:r>
      <w:r w:rsidR="005E60C9">
        <w:rPr>
          <w:iCs/>
        </w:rPr>
        <w:t xml:space="preserve">rises the more generic question of how to collect measurements for the cases where an event that updates a counter is not known </w:t>
      </w:r>
      <w:r>
        <w:rPr>
          <w:iCs/>
        </w:rPr>
        <w:t xml:space="preserve">to the NE </w:t>
      </w:r>
      <w:r w:rsidR="005E60C9">
        <w:rPr>
          <w:iCs/>
        </w:rPr>
        <w:t xml:space="preserve">until after the granularity period ends. </w:t>
      </w:r>
      <w:r w:rsidR="006A172F">
        <w:rPr>
          <w:iCs/>
        </w:rPr>
        <w:t xml:space="preserve">Is there a need </w:t>
      </w:r>
      <w:r>
        <w:rPr>
          <w:iCs/>
        </w:rPr>
        <w:t xml:space="preserve">for SA5 </w:t>
      </w:r>
      <w:r w:rsidR="006A172F">
        <w:rPr>
          <w:iCs/>
        </w:rPr>
        <w:t xml:space="preserve">to </w:t>
      </w:r>
      <w:r>
        <w:rPr>
          <w:iCs/>
        </w:rPr>
        <w:t>specify such a solution</w:t>
      </w:r>
      <w:r w:rsidR="006A172F">
        <w:rPr>
          <w:iCs/>
        </w:rPr>
        <w:t xml:space="preserve">? </w:t>
      </w:r>
    </w:p>
    <w:p w14:paraId="320CF64B" w14:textId="77777777" w:rsidR="000D2CCE" w:rsidRDefault="00860658" w:rsidP="00860658">
      <w:pPr>
        <w:pStyle w:val="ListParagraph"/>
        <w:numPr>
          <w:ilvl w:val="0"/>
          <w:numId w:val="25"/>
        </w:numPr>
      </w:pPr>
      <w:r w:rsidRPr="00860658">
        <w:t xml:space="preserve">Contribution [1] counts Radio Link Failure (RLF) Reports and Successful Handover Reports (SHR). </w:t>
      </w:r>
      <w:r w:rsidR="000D2CCE">
        <w:t xml:space="preserve">It attempts to collect information about “old” RLE Reports and SHRs. </w:t>
      </w:r>
      <w:proofErr w:type="gramStart"/>
      <w:r w:rsidR="000D2CCE">
        <w:t>It is clear that this</w:t>
      </w:r>
      <w:proofErr w:type="gramEnd"/>
      <w:r w:rsidR="000D2CCE">
        <w:t xml:space="preserve"> can be useful for optimising mobility.</w:t>
      </w:r>
    </w:p>
    <w:p w14:paraId="416B5B40" w14:textId="245CFA1A" w:rsidR="005A1031" w:rsidRDefault="00860658" w:rsidP="00860658">
      <w:pPr>
        <w:pStyle w:val="ListParagraph"/>
        <w:numPr>
          <w:ilvl w:val="0"/>
          <w:numId w:val="25"/>
        </w:numPr>
      </w:pPr>
      <w:r w:rsidRPr="00860658">
        <w:t xml:space="preserve">Are there more examples </w:t>
      </w:r>
      <w:r w:rsidR="000D2CCE">
        <w:t xml:space="preserve">than RLF Reports and SHRs for which </w:t>
      </w:r>
      <w:r w:rsidRPr="00860658">
        <w:t xml:space="preserve">counting “old” events </w:t>
      </w:r>
      <w:r w:rsidR="000D2CCE">
        <w:t>would be useful</w:t>
      </w:r>
      <w:r w:rsidRPr="00860658">
        <w:t>?</w:t>
      </w:r>
    </w:p>
    <w:p w14:paraId="44A48158" w14:textId="3573848A" w:rsidR="00860658" w:rsidRDefault="00860658" w:rsidP="00860658">
      <w:pPr>
        <w:pStyle w:val="ListParagraph"/>
        <w:numPr>
          <w:ilvl w:val="0"/>
          <w:numId w:val="25"/>
        </w:numPr>
      </w:pPr>
      <w:r>
        <w:t>Does SA5 need to develop a</w:t>
      </w:r>
      <w:r w:rsidR="00CC1BB1">
        <w:t>n implementable</w:t>
      </w:r>
      <w:r>
        <w:t xml:space="preserve"> solution that is implementable for counting “old” events?</w:t>
      </w:r>
    </w:p>
    <w:p w14:paraId="58276C1B" w14:textId="5D9C732D" w:rsidR="00802FC6" w:rsidRDefault="00CC1BB1" w:rsidP="00802FC6">
      <w:r>
        <w:t>We propose that SA5 discuss this topic.</w:t>
      </w:r>
    </w:p>
    <w:p w14:paraId="3A02D2A5" w14:textId="63D40742" w:rsidR="00112102" w:rsidRDefault="00C07E57" w:rsidP="00C07E57">
      <w:pPr>
        <w:pStyle w:val="Heading2"/>
      </w:pPr>
      <w:r>
        <w:t>3.</w:t>
      </w:r>
      <w:r w:rsidR="005E60C9">
        <w:t>3</w:t>
      </w:r>
      <w:r>
        <w:tab/>
      </w:r>
      <w:r>
        <w:t>Further considerations</w:t>
      </w:r>
    </w:p>
    <w:p w14:paraId="5F2C2A7C" w14:textId="62F5C8B0" w:rsidR="00C07E57" w:rsidRDefault="00D20C1F">
      <w:pPr>
        <w:rPr>
          <w:iCs/>
        </w:rPr>
      </w:pPr>
      <w:r>
        <w:rPr>
          <w:iCs/>
        </w:rPr>
        <w:t xml:space="preserve">Contribution [1] further contains </w:t>
      </w:r>
      <w:r w:rsidR="00752E1C">
        <w:rPr>
          <w:iCs/>
        </w:rPr>
        <w:t>several</w:t>
      </w:r>
      <w:r>
        <w:rPr>
          <w:iCs/>
        </w:rPr>
        <w:t xml:space="preserve"> flaws that need to be addressed:</w:t>
      </w:r>
    </w:p>
    <w:p w14:paraId="24DFBF7E" w14:textId="7B38F59A" w:rsidR="00D20C1F" w:rsidRDefault="0065347C" w:rsidP="0065347C">
      <w:pPr>
        <w:pStyle w:val="ListNumber"/>
        <w:numPr>
          <w:ilvl w:val="0"/>
          <w:numId w:val="23"/>
        </w:numPr>
      </w:pPr>
      <w:r>
        <w:t xml:space="preserve">5.1.1.6.x item a): </w:t>
      </w:r>
      <w:r w:rsidRPr="0065347C">
        <w:t>The three quote</w:t>
      </w:r>
      <w:r w:rsidR="00C750F3">
        <w:t>d text snippets</w:t>
      </w:r>
      <w:r w:rsidRPr="0065347C">
        <w:t xml:space="preserve"> do not exist in 38.300. Remove.</w:t>
      </w:r>
    </w:p>
    <w:p w14:paraId="14E6E453" w14:textId="4AD2A842" w:rsidR="00752E1C" w:rsidRPr="00752E1C" w:rsidRDefault="00752E1C" w:rsidP="00752E1C">
      <w:pPr>
        <w:pStyle w:val="ListParagraph"/>
        <w:numPr>
          <w:ilvl w:val="0"/>
          <w:numId w:val="23"/>
        </w:numPr>
      </w:pPr>
      <w:r>
        <w:t xml:space="preserve">A.x: </w:t>
      </w:r>
      <w:r w:rsidRPr="00752E1C">
        <w:t xml:space="preserve">Avoid </w:t>
      </w:r>
      <w:r w:rsidR="009F3B4E">
        <w:t>exotic</w:t>
      </w:r>
      <w:r w:rsidRPr="00752E1C">
        <w:t xml:space="preserve"> words like “lacuna”.</w:t>
      </w:r>
    </w:p>
    <w:p w14:paraId="55C4CE59" w14:textId="77777777" w:rsidR="00752E1C" w:rsidRDefault="00752E1C" w:rsidP="0065347C">
      <w:pPr>
        <w:pStyle w:val="ListNumber"/>
        <w:numPr>
          <w:ilvl w:val="0"/>
          <w:numId w:val="23"/>
        </w:numPr>
      </w:pPr>
      <w:r>
        <w:t xml:space="preserve">A.x: </w:t>
      </w:r>
      <w:r w:rsidRPr="00752E1C">
        <w:t>This</w:t>
      </w:r>
      <w:r>
        <w:t xml:space="preserve"> clause does not describe a </w:t>
      </w:r>
      <w:r w:rsidRPr="00752E1C">
        <w:t xml:space="preserve">use case, but </w:t>
      </w:r>
      <w:r>
        <w:t xml:space="preserve">looks like </w:t>
      </w:r>
      <w:r w:rsidRPr="00752E1C">
        <w:t>a motivation for the CR.</w:t>
      </w:r>
    </w:p>
    <w:p w14:paraId="0E1E3470" w14:textId="0A878E01" w:rsidR="0065347C" w:rsidRDefault="00752E1C" w:rsidP="0065347C">
      <w:pPr>
        <w:pStyle w:val="ListNumber"/>
        <w:numPr>
          <w:ilvl w:val="0"/>
          <w:numId w:val="23"/>
        </w:numPr>
      </w:pPr>
      <w:r>
        <w:t xml:space="preserve">A.x: </w:t>
      </w:r>
      <w:r w:rsidR="00C750F3">
        <w:t>A sentence like “</w:t>
      </w:r>
      <w:r w:rsidR="00C750F3" w:rsidRPr="00C750F3">
        <w:rPr>
          <w:i/>
          <w:iCs/>
        </w:rPr>
        <w:t>We propose to address this lacuna in this invention by proposing measurements for these scenarios and their associated counting rules</w:t>
      </w:r>
      <w:r w:rsidR="00C750F3">
        <w:t xml:space="preserve">” suggests that this clause is merely a copy-paste from an invention disclosure. </w:t>
      </w:r>
      <w:r w:rsidR="0074540B">
        <w:t>Needs</w:t>
      </w:r>
      <w:r w:rsidR="00A6458D">
        <w:t xml:space="preserve"> reword</w:t>
      </w:r>
      <w:r w:rsidR="0074540B">
        <w:t>ing</w:t>
      </w:r>
      <w:r w:rsidR="00A6458D">
        <w:t>.</w:t>
      </w:r>
    </w:p>
    <w:p w14:paraId="325DDFD0" w14:textId="77777777" w:rsidR="00112102" w:rsidRDefault="00112102">
      <w:pPr>
        <w:rPr>
          <w:iCs/>
        </w:rPr>
      </w:pP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DD679A4" w14:textId="66105C4C" w:rsidR="00860658" w:rsidRDefault="00860658">
      <w:pPr>
        <w:rPr>
          <w:iCs/>
        </w:rPr>
      </w:pPr>
      <w:r>
        <w:rPr>
          <w:iCs/>
        </w:rPr>
        <w:t xml:space="preserve">1. </w:t>
      </w:r>
      <w:r w:rsidR="00C750F3">
        <w:rPr>
          <w:iCs/>
        </w:rPr>
        <w:t>SA5 to withdraw contribution [1]</w:t>
      </w:r>
      <w:r>
        <w:rPr>
          <w:iCs/>
        </w:rPr>
        <w:t>.</w:t>
      </w:r>
      <w:r w:rsidR="009049C1">
        <w:rPr>
          <w:iCs/>
        </w:rPr>
        <w:t xml:space="preserve"> </w:t>
      </w:r>
    </w:p>
    <w:p w14:paraId="51E5A1B4" w14:textId="79BAE8A3" w:rsidR="00C750F3" w:rsidRPr="00C0579A" w:rsidRDefault="00860658">
      <w:pPr>
        <w:rPr>
          <w:i/>
        </w:rPr>
      </w:pPr>
      <w:r>
        <w:rPr>
          <w:iCs/>
        </w:rPr>
        <w:t>2. SA5 to</w:t>
      </w:r>
      <w:r w:rsidRPr="00860658">
        <w:rPr>
          <w:iCs/>
        </w:rPr>
        <w:t xml:space="preserve"> </w:t>
      </w:r>
      <w:r w:rsidR="009049C1" w:rsidRPr="00860658">
        <w:rPr>
          <w:iCs/>
        </w:rPr>
        <w:t xml:space="preserve">discuss </w:t>
      </w:r>
      <w:r>
        <w:rPr>
          <w:iCs/>
        </w:rPr>
        <w:t xml:space="preserve">whether </w:t>
      </w:r>
      <w:r w:rsidR="009049C1" w:rsidRPr="00860658">
        <w:rPr>
          <w:iCs/>
        </w:rPr>
        <w:t>an implementable solution</w:t>
      </w:r>
      <w:r w:rsidRPr="00860658">
        <w:rPr>
          <w:iCs/>
        </w:rPr>
        <w:t xml:space="preserve"> for counting </w:t>
      </w:r>
      <w:r w:rsidR="00CC1BB1">
        <w:rPr>
          <w:iCs/>
        </w:rPr>
        <w:t>“old”</w:t>
      </w:r>
      <w:r w:rsidRPr="00860658">
        <w:rPr>
          <w:iCs/>
        </w:rPr>
        <w:t xml:space="preserve"> events</w:t>
      </w:r>
      <w:r>
        <w:rPr>
          <w:iCs/>
        </w:rPr>
        <w:t xml:space="preserve"> is needed</w:t>
      </w:r>
      <w:r w:rsidRPr="00860658">
        <w:rPr>
          <w:iCs/>
        </w:rPr>
        <w:t>.</w:t>
      </w:r>
    </w:p>
    <w:p w14:paraId="46971631" w14:textId="70BCBCBC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8BE55" w14:textId="77777777" w:rsidR="00147E06" w:rsidRDefault="00147E06">
      <w:r>
        <w:separator/>
      </w:r>
    </w:p>
  </w:endnote>
  <w:endnote w:type="continuationSeparator" w:id="0">
    <w:p w14:paraId="1DA7D38D" w14:textId="77777777" w:rsidR="00147E06" w:rsidRDefault="00147E06">
      <w:r>
        <w:continuationSeparator/>
      </w:r>
    </w:p>
  </w:endnote>
  <w:endnote w:type="continuationNotice" w:id="1">
    <w:p w14:paraId="1B2454CB" w14:textId="77777777" w:rsidR="00E0200C" w:rsidRDefault="00E020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A1E6" w14:textId="77777777" w:rsidR="00147E06" w:rsidRDefault="00147E06">
      <w:r>
        <w:separator/>
      </w:r>
    </w:p>
  </w:footnote>
  <w:footnote w:type="continuationSeparator" w:id="0">
    <w:p w14:paraId="4A8DE008" w14:textId="77777777" w:rsidR="00147E06" w:rsidRDefault="00147E06">
      <w:r>
        <w:continuationSeparator/>
      </w:r>
    </w:p>
  </w:footnote>
  <w:footnote w:type="continuationNotice" w:id="1">
    <w:p w14:paraId="7015276C" w14:textId="77777777" w:rsidR="00E0200C" w:rsidRDefault="00E020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DE76B3"/>
    <w:multiLevelType w:val="hybridMultilevel"/>
    <w:tmpl w:val="36A0F0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4E62BC"/>
    <w:multiLevelType w:val="hybridMultilevel"/>
    <w:tmpl w:val="2D8835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64D3015"/>
    <w:multiLevelType w:val="hybridMultilevel"/>
    <w:tmpl w:val="CBB20B80"/>
    <w:lvl w:ilvl="0" w:tplc="8294CC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875575228">
    <w:abstractNumId w:val="22"/>
  </w:num>
  <w:num w:numId="24" w16cid:durableId="318772306">
    <w:abstractNumId w:val="17"/>
  </w:num>
  <w:num w:numId="25" w16cid:durableId="16911828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D2CCE"/>
    <w:rsid w:val="000E52FF"/>
    <w:rsid w:val="000E626A"/>
    <w:rsid w:val="000F3C93"/>
    <w:rsid w:val="0010401F"/>
    <w:rsid w:val="00112102"/>
    <w:rsid w:val="00112FC3"/>
    <w:rsid w:val="001343B4"/>
    <w:rsid w:val="00141B60"/>
    <w:rsid w:val="00147E06"/>
    <w:rsid w:val="00173FA3"/>
    <w:rsid w:val="00184B6F"/>
    <w:rsid w:val="001861E5"/>
    <w:rsid w:val="001969DA"/>
    <w:rsid w:val="00197930"/>
    <w:rsid w:val="001A75A6"/>
    <w:rsid w:val="001B1652"/>
    <w:rsid w:val="001C3EC8"/>
    <w:rsid w:val="001D2BD4"/>
    <w:rsid w:val="001D4258"/>
    <w:rsid w:val="001D645D"/>
    <w:rsid w:val="001D6911"/>
    <w:rsid w:val="001E4833"/>
    <w:rsid w:val="001F6A38"/>
    <w:rsid w:val="00201947"/>
    <w:rsid w:val="0020395B"/>
    <w:rsid w:val="002046CB"/>
    <w:rsid w:val="00204DC9"/>
    <w:rsid w:val="002062C0"/>
    <w:rsid w:val="00206D41"/>
    <w:rsid w:val="00212C47"/>
    <w:rsid w:val="00215130"/>
    <w:rsid w:val="00230002"/>
    <w:rsid w:val="00244C9A"/>
    <w:rsid w:val="00247216"/>
    <w:rsid w:val="002647A0"/>
    <w:rsid w:val="00266700"/>
    <w:rsid w:val="00274477"/>
    <w:rsid w:val="002A1857"/>
    <w:rsid w:val="002C3181"/>
    <w:rsid w:val="002C7F38"/>
    <w:rsid w:val="002E0A18"/>
    <w:rsid w:val="002F6D1E"/>
    <w:rsid w:val="0030628A"/>
    <w:rsid w:val="0035122B"/>
    <w:rsid w:val="00353451"/>
    <w:rsid w:val="003612BE"/>
    <w:rsid w:val="00365672"/>
    <w:rsid w:val="00371032"/>
    <w:rsid w:val="00371B44"/>
    <w:rsid w:val="00375BCB"/>
    <w:rsid w:val="003C122B"/>
    <w:rsid w:val="003C4713"/>
    <w:rsid w:val="003C5A97"/>
    <w:rsid w:val="003C7A04"/>
    <w:rsid w:val="003D546B"/>
    <w:rsid w:val="003F52B2"/>
    <w:rsid w:val="0041201B"/>
    <w:rsid w:val="004148AF"/>
    <w:rsid w:val="00414F74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6524D"/>
    <w:rsid w:val="005729C4"/>
    <w:rsid w:val="00577BC6"/>
    <w:rsid w:val="0059227B"/>
    <w:rsid w:val="005A1031"/>
    <w:rsid w:val="005B0966"/>
    <w:rsid w:val="005B795D"/>
    <w:rsid w:val="005E60C9"/>
    <w:rsid w:val="00610508"/>
    <w:rsid w:val="00612448"/>
    <w:rsid w:val="00613820"/>
    <w:rsid w:val="00622B25"/>
    <w:rsid w:val="006347EF"/>
    <w:rsid w:val="00645C90"/>
    <w:rsid w:val="00652248"/>
    <w:rsid w:val="0065347C"/>
    <w:rsid w:val="00657B80"/>
    <w:rsid w:val="00675B3C"/>
    <w:rsid w:val="0069495C"/>
    <w:rsid w:val="006A172F"/>
    <w:rsid w:val="006D340A"/>
    <w:rsid w:val="00701AF2"/>
    <w:rsid w:val="00715A1D"/>
    <w:rsid w:val="0074540B"/>
    <w:rsid w:val="00752E1C"/>
    <w:rsid w:val="00760BB0"/>
    <w:rsid w:val="0076157A"/>
    <w:rsid w:val="00784593"/>
    <w:rsid w:val="00791316"/>
    <w:rsid w:val="007A00EF"/>
    <w:rsid w:val="007A53A9"/>
    <w:rsid w:val="007B19EA"/>
    <w:rsid w:val="007C0A2D"/>
    <w:rsid w:val="007C27B0"/>
    <w:rsid w:val="007F300B"/>
    <w:rsid w:val="008014C3"/>
    <w:rsid w:val="00802FC6"/>
    <w:rsid w:val="00812587"/>
    <w:rsid w:val="00850812"/>
    <w:rsid w:val="00860658"/>
    <w:rsid w:val="00876B9A"/>
    <w:rsid w:val="00886CBD"/>
    <w:rsid w:val="008933BF"/>
    <w:rsid w:val="008A10C4"/>
    <w:rsid w:val="008B0248"/>
    <w:rsid w:val="008D191D"/>
    <w:rsid w:val="008F5F33"/>
    <w:rsid w:val="009049C1"/>
    <w:rsid w:val="0091046A"/>
    <w:rsid w:val="00926ABD"/>
    <w:rsid w:val="00947F4E"/>
    <w:rsid w:val="0095447F"/>
    <w:rsid w:val="00966D47"/>
    <w:rsid w:val="00992312"/>
    <w:rsid w:val="009C0DED"/>
    <w:rsid w:val="009F3B4E"/>
    <w:rsid w:val="00A004B4"/>
    <w:rsid w:val="00A20ED6"/>
    <w:rsid w:val="00A37D7F"/>
    <w:rsid w:val="00A46410"/>
    <w:rsid w:val="00A57688"/>
    <w:rsid w:val="00A6313B"/>
    <w:rsid w:val="00A63D58"/>
    <w:rsid w:val="00A6458D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A1411"/>
    <w:rsid w:val="00BB306A"/>
    <w:rsid w:val="00BC25AA"/>
    <w:rsid w:val="00BF43EB"/>
    <w:rsid w:val="00BF682E"/>
    <w:rsid w:val="00C022E3"/>
    <w:rsid w:val="00C0579A"/>
    <w:rsid w:val="00C07E57"/>
    <w:rsid w:val="00C22D17"/>
    <w:rsid w:val="00C26BB2"/>
    <w:rsid w:val="00C4712D"/>
    <w:rsid w:val="00C517C5"/>
    <w:rsid w:val="00C555C9"/>
    <w:rsid w:val="00C750F3"/>
    <w:rsid w:val="00C94F55"/>
    <w:rsid w:val="00CA2D39"/>
    <w:rsid w:val="00CA7D62"/>
    <w:rsid w:val="00CB07A8"/>
    <w:rsid w:val="00CC1BB1"/>
    <w:rsid w:val="00CC34ED"/>
    <w:rsid w:val="00CC5BAE"/>
    <w:rsid w:val="00CD4A57"/>
    <w:rsid w:val="00CE460E"/>
    <w:rsid w:val="00D146F1"/>
    <w:rsid w:val="00D208D1"/>
    <w:rsid w:val="00D20C1F"/>
    <w:rsid w:val="00D33604"/>
    <w:rsid w:val="00D37B08"/>
    <w:rsid w:val="00D437FF"/>
    <w:rsid w:val="00D5130C"/>
    <w:rsid w:val="00D62265"/>
    <w:rsid w:val="00D71389"/>
    <w:rsid w:val="00D73770"/>
    <w:rsid w:val="00D8512E"/>
    <w:rsid w:val="00DA1E58"/>
    <w:rsid w:val="00DB75B8"/>
    <w:rsid w:val="00DC1055"/>
    <w:rsid w:val="00DE4EF2"/>
    <w:rsid w:val="00DF0F93"/>
    <w:rsid w:val="00DF2C0E"/>
    <w:rsid w:val="00E0200C"/>
    <w:rsid w:val="00E04DB6"/>
    <w:rsid w:val="00E06FFB"/>
    <w:rsid w:val="00E30155"/>
    <w:rsid w:val="00E56119"/>
    <w:rsid w:val="00E91FE1"/>
    <w:rsid w:val="00EA5E95"/>
    <w:rsid w:val="00ED4954"/>
    <w:rsid w:val="00ED5A43"/>
    <w:rsid w:val="00EE0943"/>
    <w:rsid w:val="00EE1FD7"/>
    <w:rsid w:val="00EE33A2"/>
    <w:rsid w:val="00F526B6"/>
    <w:rsid w:val="00F67A1C"/>
    <w:rsid w:val="00F82C5B"/>
    <w:rsid w:val="00F85325"/>
    <w:rsid w:val="00F8555F"/>
    <w:rsid w:val="00FB0B3F"/>
    <w:rsid w:val="00FB3767"/>
    <w:rsid w:val="00FB3E36"/>
    <w:rsid w:val="00FE6F70"/>
    <w:rsid w:val="00FF4910"/>
    <w:rsid w:val="3734AE56"/>
    <w:rsid w:val="4F74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07E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A10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C6F4BD-F2E8-42D2-91E5-6F086BC58A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6EC4A-6B6E-4101-BB14-BF7909C692FF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d8762117-8292-4133-b1c7-eab5c6487cfd"/>
    <ds:schemaRef ds:uri="http://schemas.microsoft.com/office/infopath/2007/PartnerControls"/>
    <ds:schemaRef ds:uri="18606206-42b0-4a45-9711-0f4c6799a4cc"/>
    <ds:schemaRef ds:uri="2d52617d-9ef0-49ec-a9c6-d4404dcbcc6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3356892-C5A2-48AA-85EF-C0C0F38B9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1926</TotalTime>
  <Pages>3</Pages>
  <Words>1026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34</cp:revision>
  <cp:lastPrinted>1899-12-31T23:00:00Z</cp:lastPrinted>
  <dcterms:created xsi:type="dcterms:W3CDTF">2024-04-24T14:08:00Z</dcterms:created>
  <dcterms:modified xsi:type="dcterms:W3CDTF">2024-11-08T15:00:00Z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